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2A5A3E" w:rsidRDefault="002A5A3E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Indul a </w:t>
      </w:r>
      <w:r w:rsidRPr="002A5A3E">
        <w:rPr>
          <w:rFonts w:ascii="Arial" w:hAnsi="Arial" w:cs="Arial"/>
          <w:b/>
          <w:color w:val="333399"/>
          <w:sz w:val="20"/>
          <w:szCs w:val="20"/>
        </w:rPr>
        <w:t xml:space="preserve">„Vitorlázz Itthon – A felfedezés élménye” </w:t>
      </w:r>
    </w:p>
    <w:p w:rsidR="002A5A3E" w:rsidRPr="002A5A3E" w:rsidRDefault="002A5A3E" w:rsidP="002A5A3E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Lezárultak a vitorlás élményturizmus fejlesztését célzó, uniós forrásokból megvalósuló fejlesztések </w:t>
      </w:r>
    </w:p>
    <w:p w:rsidR="00D973F1" w:rsidRPr="00851998" w:rsidRDefault="00394F55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2018. november </w:t>
      </w:r>
      <w:r w:rsidR="00211611">
        <w:rPr>
          <w:rFonts w:ascii="Arial" w:hAnsi="Arial" w:cs="Arial"/>
          <w:b/>
          <w:color w:val="333399"/>
          <w:sz w:val="20"/>
          <w:szCs w:val="20"/>
        </w:rPr>
        <w:t>30</w:t>
      </w:r>
      <w:bookmarkStart w:id="0" w:name="_GoBack"/>
      <w:bookmarkEnd w:id="0"/>
      <w:r>
        <w:rPr>
          <w:rFonts w:ascii="Arial" w:hAnsi="Arial" w:cs="Arial"/>
          <w:b/>
          <w:color w:val="333399"/>
          <w:sz w:val="20"/>
          <w:szCs w:val="20"/>
        </w:rPr>
        <w:t xml:space="preserve">. 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A9" w:rsidRDefault="000E6BA9" w:rsidP="00394F55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4B1281" w:rsidP="00394F55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12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Jelentős lépést tett a Magyar Vitorlás Szövetség az egyik legfontosabb célja felé, amelynek keretében még vonzóbbá teszi a vitorlázást, mint aktív turisztikai célpontot. A túravitorlázás intermodális megállóhelyei, kikötő-fejlesztései (GINOP 7.1.2.-15-00007 számú) projekt keretében összesen 199 darab új hajót kaptak a hazai vitorlásklubok, lezárult a kikötő-minősítési rendszer kialakítása és a „Vitorlázz itthon – A felfedezés élménye” turisztikai portál fejlesztése.  Az Európai Unió támogatásával megvalósult fejlesztés összköltsége 640,7 millió forint volt.</w:t>
                            </w:r>
                          </w:p>
                          <w:p w:rsidR="00D973F1" w:rsidRDefault="00D973F1" w:rsidP="00D973F1">
                            <w:pPr>
                              <w:pStyle w:val="Nincstrkz"/>
                            </w:pPr>
                          </w:p>
                          <w:p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:rsidR="000E6BA9" w:rsidRDefault="000E6BA9" w:rsidP="00394F55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4B1281" w:rsidP="00394F55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1281">
                        <w:rPr>
                          <w:rFonts w:ascii="Arial" w:hAnsi="Arial" w:cs="Arial"/>
                          <w:sz w:val="20"/>
                          <w:szCs w:val="20"/>
                        </w:rPr>
                        <w:t>Jelentős lépést tett a Magyar Vitorlás Szövetség az egyik legfontosabb célja felé, amelynek keretében még vonzóbbá teszi a vitorlázást, mint aktív turisztikai célpontot. A túravitorlázás intermodális megállóhelyei, kikötő-fejlesztései (GINOP 7.1.2.-15-00007 számú) projekt keretében összesen 199 darab új hajót kaptak a hazai vitorlásklubok, lezárult a kikötő-minősítési rendszer kialakítása és a „Vitorlázz itthon – A felfedezés élménye” turisztikai portál fejlesztése.  Az Európai Unió támogatásával megvalósult fejlesztés összköltsége 640,7 millió forint volt.</w:t>
                      </w:r>
                    </w:p>
                    <w:p w:rsidR="00D973F1" w:rsidRDefault="00D973F1" w:rsidP="00D973F1">
                      <w:pPr>
                        <w:pStyle w:val="Nincstrkz"/>
                      </w:pPr>
                    </w:p>
                    <w:p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07A77" w:rsidRDefault="00394F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94F55">
        <w:rPr>
          <w:rFonts w:ascii="Arial" w:hAnsi="Arial" w:cs="Arial"/>
          <w:sz w:val="20"/>
          <w:szCs w:val="20"/>
        </w:rPr>
        <w:t xml:space="preserve">Holczhauser András, a </w:t>
      </w:r>
      <w:r w:rsidR="004B1281">
        <w:rPr>
          <w:rFonts w:ascii="Arial" w:hAnsi="Arial" w:cs="Arial"/>
          <w:sz w:val="20"/>
          <w:szCs w:val="20"/>
        </w:rPr>
        <w:t>Magyar Vitorlás Szövetség (</w:t>
      </w:r>
      <w:proofErr w:type="spellStart"/>
      <w:r w:rsidR="004B1281">
        <w:rPr>
          <w:rFonts w:ascii="Arial" w:hAnsi="Arial" w:cs="Arial"/>
          <w:sz w:val="20"/>
          <w:szCs w:val="20"/>
        </w:rPr>
        <w:t>MVSz</w:t>
      </w:r>
      <w:proofErr w:type="spellEnd"/>
      <w:r w:rsidR="004B1281">
        <w:rPr>
          <w:rFonts w:ascii="Arial" w:hAnsi="Arial" w:cs="Arial"/>
          <w:sz w:val="20"/>
          <w:szCs w:val="20"/>
        </w:rPr>
        <w:t xml:space="preserve">) </w:t>
      </w:r>
      <w:r w:rsidRPr="00394F55">
        <w:rPr>
          <w:rFonts w:ascii="Arial" w:hAnsi="Arial" w:cs="Arial"/>
          <w:sz w:val="20"/>
          <w:szCs w:val="20"/>
        </w:rPr>
        <w:t>főtitkára rámutatott: a hazai vitorlás eszközpark minőségi és mennyiségi fejlesztése elengedhetetlen feltétele annak, hogy a sportág mindenki számára elérhetővé váljon, valamint az élményszerzési céllal használni vágyók nagyobb tömege juthasson hozzá modern, erre a célra alkalmas eszközökhöz.</w:t>
      </w:r>
    </w:p>
    <w:p w:rsidR="00394F55" w:rsidRDefault="00394F5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405"/>
        <w:gridCol w:w="1913"/>
      </w:tblGrid>
      <w:tr w:rsidR="00586243" w:rsidRPr="00586243" w:rsidTr="00B7693F">
        <w:trPr>
          <w:trHeight w:val="221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86243">
              <w:rPr>
                <w:rFonts w:ascii="Arial" w:hAnsi="Arial" w:cs="Arial"/>
                <w:b/>
                <w:sz w:val="20"/>
                <w:szCs w:val="20"/>
              </w:rPr>
              <w:t>Hajó típusa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43">
              <w:rPr>
                <w:rFonts w:ascii="Arial" w:hAnsi="Arial" w:cs="Arial"/>
                <w:b/>
                <w:sz w:val="20"/>
                <w:szCs w:val="20"/>
              </w:rPr>
              <w:t>Darabszám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Bravo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6.0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Optiparts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Optimist</w:t>
            </w:r>
            <w:proofErr w:type="spellEnd"/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86243" w:rsidRPr="00586243" w:rsidTr="00B7693F">
        <w:trPr>
          <w:trHeight w:val="267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SailQube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Optimist</w:t>
            </w:r>
            <w:proofErr w:type="spellEnd"/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Topáz 16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Nacra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 xml:space="preserve">RS </w:t>
            </w: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Feva</w:t>
            </w:r>
            <w:proofErr w:type="spellEnd"/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Laser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4.7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Laser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Bahia</w:t>
            </w:r>
            <w:proofErr w:type="spellEnd"/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6243">
              <w:rPr>
                <w:rFonts w:ascii="Arial" w:hAnsi="Arial" w:cs="Arial"/>
                <w:sz w:val="20"/>
                <w:szCs w:val="20"/>
              </w:rPr>
              <w:t>Brig</w:t>
            </w:r>
            <w:proofErr w:type="spellEnd"/>
            <w:r w:rsidRPr="00586243">
              <w:rPr>
                <w:rFonts w:ascii="Arial" w:hAnsi="Arial" w:cs="Arial"/>
                <w:sz w:val="20"/>
                <w:szCs w:val="20"/>
              </w:rPr>
              <w:t xml:space="preserve"> F500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29-ER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24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86243" w:rsidRPr="00586243" w:rsidTr="00B7693F">
        <w:trPr>
          <w:trHeight w:val="256"/>
        </w:trPr>
        <w:tc>
          <w:tcPr>
            <w:tcW w:w="2405" w:type="dxa"/>
          </w:tcPr>
          <w:p w:rsidR="00586243" w:rsidRPr="00586243" w:rsidRDefault="00586243" w:rsidP="00B7693F">
            <w:pPr>
              <w:pStyle w:val="Nincstrkz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586243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1913" w:type="dxa"/>
          </w:tcPr>
          <w:p w:rsidR="00586243" w:rsidRPr="00586243" w:rsidRDefault="00586243" w:rsidP="00B7693F">
            <w:pPr>
              <w:pStyle w:val="Nincstrkz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243"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</w:tr>
    </w:tbl>
    <w:p w:rsidR="004B1281" w:rsidRDefault="004B1281" w:rsidP="004B1281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fejlesztés eredményeként az elmúlt két évben az </w:t>
      </w:r>
      <w:proofErr w:type="spellStart"/>
      <w:r>
        <w:rPr>
          <w:rFonts w:ascii="Arial" w:hAnsi="Arial" w:cs="Arial"/>
          <w:sz w:val="20"/>
          <w:szCs w:val="20"/>
        </w:rPr>
        <w:t>MVSz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4210E">
        <w:rPr>
          <w:rFonts w:ascii="Arial" w:hAnsi="Arial" w:cs="Arial"/>
          <w:sz w:val="20"/>
          <w:szCs w:val="20"/>
        </w:rPr>
        <w:t xml:space="preserve">megbízásából eljáró </w:t>
      </w:r>
      <w:r w:rsidR="0014210E" w:rsidRPr="0014210E">
        <w:rPr>
          <w:rFonts w:ascii="Arial" w:hAnsi="Arial" w:cs="Arial"/>
          <w:sz w:val="20"/>
          <w:szCs w:val="20"/>
        </w:rPr>
        <w:t xml:space="preserve">Magyar Vitorlás Akadémia </w:t>
      </w:r>
      <w:proofErr w:type="spellStart"/>
      <w:r w:rsidR="0014210E" w:rsidRPr="0014210E">
        <w:rPr>
          <w:rFonts w:ascii="Arial" w:hAnsi="Arial" w:cs="Arial"/>
          <w:sz w:val="20"/>
          <w:szCs w:val="20"/>
        </w:rPr>
        <w:t>NKft</w:t>
      </w:r>
      <w:proofErr w:type="spellEnd"/>
      <w:r w:rsidR="0014210E">
        <w:rPr>
          <w:rFonts w:ascii="Arial" w:hAnsi="Arial" w:cs="Arial"/>
          <w:sz w:val="20"/>
          <w:szCs w:val="20"/>
        </w:rPr>
        <w:t>.</w:t>
      </w:r>
      <w:r w:rsidR="0014210E" w:rsidRPr="0014210E">
        <w:rPr>
          <w:rFonts w:ascii="Arial" w:hAnsi="Arial" w:cs="Arial"/>
          <w:sz w:val="20"/>
          <w:szCs w:val="20"/>
        </w:rPr>
        <w:t xml:space="preserve"> </w:t>
      </w:r>
      <w:r w:rsidRPr="004B1281">
        <w:rPr>
          <w:rFonts w:ascii="Arial" w:hAnsi="Arial" w:cs="Arial"/>
          <w:sz w:val="20"/>
          <w:szCs w:val="20"/>
        </w:rPr>
        <w:t xml:space="preserve">199 darab kishajót </w:t>
      </w:r>
      <w:r>
        <w:rPr>
          <w:rFonts w:ascii="Arial" w:hAnsi="Arial" w:cs="Arial"/>
          <w:sz w:val="20"/>
          <w:szCs w:val="20"/>
        </w:rPr>
        <w:t xml:space="preserve">szerzett be, összesen 420,5 millió </w:t>
      </w:r>
      <w:proofErr w:type="gramStart"/>
      <w:r>
        <w:rPr>
          <w:rFonts w:ascii="Arial" w:hAnsi="Arial" w:cs="Arial"/>
          <w:sz w:val="20"/>
          <w:szCs w:val="20"/>
        </w:rPr>
        <w:t>forint értékben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4B1281">
        <w:rPr>
          <w:rFonts w:ascii="Arial" w:hAnsi="Arial" w:cs="Arial"/>
          <w:sz w:val="20"/>
          <w:szCs w:val="20"/>
        </w:rPr>
        <w:t>A kishajók beszerzése 2018 október 4-ig lezárult. Az eszközök kihelyezése a Balaton, valamint</w:t>
      </w:r>
      <w:r>
        <w:rPr>
          <w:rFonts w:ascii="Arial" w:hAnsi="Arial" w:cs="Arial"/>
          <w:sz w:val="20"/>
          <w:szCs w:val="20"/>
        </w:rPr>
        <w:t xml:space="preserve"> </w:t>
      </w:r>
      <w:r w:rsidRPr="004B1281">
        <w:rPr>
          <w:rFonts w:ascii="Arial" w:hAnsi="Arial" w:cs="Arial"/>
          <w:sz w:val="20"/>
          <w:szCs w:val="20"/>
        </w:rPr>
        <w:t>további öt hazai kisebb, a vitorlás desztinációhoz tartozó tó mell</w:t>
      </w:r>
      <w:r w:rsidR="00B7693F">
        <w:rPr>
          <w:rFonts w:ascii="Arial" w:hAnsi="Arial" w:cs="Arial"/>
          <w:sz w:val="20"/>
          <w:szCs w:val="20"/>
        </w:rPr>
        <w:t xml:space="preserve">ett </w:t>
      </w:r>
      <w:r w:rsidRPr="004B1281">
        <w:rPr>
          <w:rFonts w:ascii="Arial" w:hAnsi="Arial" w:cs="Arial"/>
          <w:sz w:val="20"/>
          <w:szCs w:val="20"/>
        </w:rPr>
        <w:t>megtörtént. A kisebb tavakon a rövid egy napos vitorlástúrák elérhetővé tétele mellett kiemelt cél a sportág megismertetése, megszerettetése, valamint tanfolyamok biztosítása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86243" w:rsidRDefault="00586243" w:rsidP="004B1281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B1281" w:rsidRDefault="0058624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európai uniós támogatás segítségével t</w:t>
      </w:r>
      <w:r w:rsidRPr="00586243">
        <w:rPr>
          <w:rFonts w:ascii="Arial" w:hAnsi="Arial" w:cs="Arial"/>
          <w:sz w:val="20"/>
          <w:szCs w:val="20"/>
        </w:rPr>
        <w:t xml:space="preserve">öbb évtizedes </w:t>
      </w:r>
      <w:r>
        <w:rPr>
          <w:rFonts w:ascii="Arial" w:hAnsi="Arial" w:cs="Arial"/>
          <w:sz w:val="20"/>
          <w:szCs w:val="20"/>
        </w:rPr>
        <w:t xml:space="preserve">elmaradást sikerült megszüntetni </w:t>
      </w:r>
      <w:r w:rsidRPr="00586243">
        <w:rPr>
          <w:rFonts w:ascii="Arial" w:hAnsi="Arial" w:cs="Arial"/>
          <w:sz w:val="20"/>
          <w:szCs w:val="20"/>
        </w:rPr>
        <w:t>a Balaton vízterületén, partján található kikötői infrastruktúrák rendszerezésére szolgáló minősítési rendszer kidolgozás</w:t>
      </w:r>
      <w:r>
        <w:rPr>
          <w:rFonts w:ascii="Arial" w:hAnsi="Arial" w:cs="Arial"/>
          <w:sz w:val="20"/>
          <w:szCs w:val="20"/>
        </w:rPr>
        <w:t xml:space="preserve">ával. Ebben a </w:t>
      </w:r>
      <w:r w:rsidRPr="00586243">
        <w:rPr>
          <w:rFonts w:ascii="Arial" w:hAnsi="Arial" w:cs="Arial"/>
          <w:sz w:val="20"/>
          <w:szCs w:val="20"/>
        </w:rPr>
        <w:t>kikötők</w:t>
      </w:r>
      <w:r>
        <w:rPr>
          <w:rFonts w:ascii="Arial" w:hAnsi="Arial" w:cs="Arial"/>
          <w:sz w:val="20"/>
          <w:szCs w:val="20"/>
        </w:rPr>
        <w:t>et</w:t>
      </w:r>
      <w:r w:rsidRPr="00586243">
        <w:rPr>
          <w:rFonts w:ascii="Arial" w:hAnsi="Arial" w:cs="Arial"/>
          <w:sz w:val="20"/>
          <w:szCs w:val="20"/>
        </w:rPr>
        <w:t xml:space="preserve"> öt csoportba sorol</w:t>
      </w:r>
      <w:r>
        <w:rPr>
          <w:rFonts w:ascii="Arial" w:hAnsi="Arial" w:cs="Arial"/>
          <w:sz w:val="20"/>
          <w:szCs w:val="20"/>
        </w:rPr>
        <w:t xml:space="preserve">ták, amelyek </w:t>
      </w:r>
      <w:r w:rsidRPr="00586243">
        <w:rPr>
          <w:rFonts w:ascii="Arial" w:hAnsi="Arial" w:cs="Arial"/>
          <w:sz w:val="20"/>
          <w:szCs w:val="20"/>
        </w:rPr>
        <w:t>csillagokat (KÉK CSILLAG) kap</w:t>
      </w:r>
      <w:r>
        <w:rPr>
          <w:rFonts w:ascii="Arial" w:hAnsi="Arial" w:cs="Arial"/>
          <w:sz w:val="20"/>
          <w:szCs w:val="20"/>
        </w:rPr>
        <w:t xml:space="preserve">tak egy </w:t>
      </w:r>
      <w:r w:rsidRPr="00586243">
        <w:rPr>
          <w:rFonts w:ascii="Arial" w:hAnsi="Arial" w:cs="Arial"/>
          <w:sz w:val="20"/>
          <w:szCs w:val="20"/>
        </w:rPr>
        <w:t>egytől-négyig terjedő skálán. A besorolás szintje attól függ, hogy a vizsgálati szempontokban részletesen leírt feltételekhez viszonyítva milyen – százalékban kifejezett – eredményt ér el az adott kikötő. 40</w:t>
      </w:r>
      <w:r>
        <w:rPr>
          <w:rFonts w:ascii="Arial" w:hAnsi="Arial" w:cs="Arial"/>
          <w:sz w:val="20"/>
          <w:szCs w:val="20"/>
        </w:rPr>
        <w:t xml:space="preserve"> százalék </w:t>
      </w:r>
      <w:r w:rsidRPr="00586243">
        <w:rPr>
          <w:rFonts w:ascii="Arial" w:hAnsi="Arial" w:cs="Arial"/>
          <w:sz w:val="20"/>
          <w:szCs w:val="20"/>
        </w:rPr>
        <w:t>alatti teljesítés esetén a kikötő nem juthat csillaghoz.</w:t>
      </w:r>
    </w:p>
    <w:p w:rsidR="00586243" w:rsidRDefault="0058624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86243" w:rsidRDefault="002A5A3E" w:rsidP="00586243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86243">
        <w:rPr>
          <w:rFonts w:ascii="Arial" w:hAnsi="Arial" w:cs="Arial"/>
          <w:sz w:val="20"/>
          <w:szCs w:val="20"/>
        </w:rPr>
        <w:t>zintén uniós forrásokból valósul</w:t>
      </w:r>
      <w:r>
        <w:rPr>
          <w:rFonts w:ascii="Arial" w:hAnsi="Arial" w:cs="Arial"/>
          <w:sz w:val="20"/>
          <w:szCs w:val="20"/>
        </w:rPr>
        <w:t xml:space="preserve">t meg a </w:t>
      </w:r>
      <w:r w:rsidR="00586243">
        <w:rPr>
          <w:rFonts w:ascii="Arial" w:hAnsi="Arial" w:cs="Arial"/>
          <w:sz w:val="20"/>
          <w:szCs w:val="20"/>
        </w:rPr>
        <w:t>v</w:t>
      </w:r>
      <w:r w:rsidR="00586243" w:rsidRPr="00586243">
        <w:rPr>
          <w:rFonts w:ascii="Arial" w:hAnsi="Arial" w:cs="Arial"/>
          <w:sz w:val="20"/>
          <w:szCs w:val="20"/>
        </w:rPr>
        <w:t>itorlás túraútvonalak fejlesztésé</w:t>
      </w:r>
      <w:r>
        <w:rPr>
          <w:rFonts w:ascii="Arial" w:hAnsi="Arial" w:cs="Arial"/>
          <w:sz w:val="20"/>
          <w:szCs w:val="20"/>
        </w:rPr>
        <w:t xml:space="preserve">t célzó </w:t>
      </w:r>
      <w:r w:rsidR="00586243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. Ennek</w:t>
      </w:r>
      <w:r w:rsidR="00586243">
        <w:rPr>
          <w:rFonts w:ascii="Arial" w:hAnsi="Arial" w:cs="Arial"/>
          <w:sz w:val="20"/>
          <w:szCs w:val="20"/>
        </w:rPr>
        <w:t xml:space="preserve"> </w:t>
      </w:r>
      <w:r w:rsidR="00586243" w:rsidRPr="00586243">
        <w:rPr>
          <w:rFonts w:ascii="Arial" w:hAnsi="Arial" w:cs="Arial"/>
          <w:sz w:val="20"/>
          <w:szCs w:val="20"/>
        </w:rPr>
        <w:t>keretében a Magyar Vitorlás Szövetség olyan, jutalmazásra és nyilvántartásra,</w:t>
      </w:r>
      <w:r w:rsidR="00586243">
        <w:rPr>
          <w:rFonts w:ascii="Arial" w:hAnsi="Arial" w:cs="Arial"/>
          <w:sz w:val="20"/>
          <w:szCs w:val="20"/>
        </w:rPr>
        <w:t xml:space="preserve"> </w:t>
      </w:r>
      <w:r w:rsidR="00586243" w:rsidRPr="00586243">
        <w:rPr>
          <w:rFonts w:ascii="Arial" w:hAnsi="Arial" w:cs="Arial"/>
          <w:sz w:val="20"/>
          <w:szCs w:val="20"/>
        </w:rPr>
        <w:t>valamint</w:t>
      </w:r>
      <w:r w:rsidR="00586243">
        <w:rPr>
          <w:rFonts w:ascii="Arial" w:hAnsi="Arial" w:cs="Arial"/>
          <w:sz w:val="20"/>
          <w:szCs w:val="20"/>
        </w:rPr>
        <w:t xml:space="preserve"> </w:t>
      </w:r>
      <w:r w:rsidR="00586243" w:rsidRPr="00586243">
        <w:rPr>
          <w:rFonts w:ascii="Arial" w:hAnsi="Arial" w:cs="Arial"/>
          <w:sz w:val="20"/>
          <w:szCs w:val="20"/>
        </w:rPr>
        <w:t xml:space="preserve">teljesítmény-összehasonlításra épülő rendszert </w:t>
      </w:r>
      <w:r w:rsidR="00586243">
        <w:rPr>
          <w:rFonts w:ascii="Arial" w:hAnsi="Arial" w:cs="Arial"/>
          <w:sz w:val="20"/>
          <w:szCs w:val="20"/>
        </w:rPr>
        <w:t>épített fel, a</w:t>
      </w:r>
      <w:r w:rsidR="00586243" w:rsidRPr="00586243">
        <w:rPr>
          <w:rFonts w:ascii="Arial" w:hAnsi="Arial" w:cs="Arial"/>
          <w:sz w:val="20"/>
          <w:szCs w:val="20"/>
        </w:rPr>
        <w:t>melynek lényege, hogy egy időben, de egymástól függetlenül</w:t>
      </w:r>
      <w:r>
        <w:rPr>
          <w:rFonts w:ascii="Arial" w:hAnsi="Arial" w:cs="Arial"/>
          <w:sz w:val="20"/>
          <w:szCs w:val="20"/>
        </w:rPr>
        <w:t xml:space="preserve"> </w:t>
      </w:r>
      <w:r w:rsidR="00586243">
        <w:rPr>
          <w:rFonts w:ascii="Arial" w:hAnsi="Arial" w:cs="Arial"/>
          <w:sz w:val="20"/>
          <w:szCs w:val="20"/>
        </w:rPr>
        <w:t>növe</w:t>
      </w:r>
      <w:r w:rsidR="00586243" w:rsidRPr="00586243">
        <w:rPr>
          <w:rFonts w:ascii="Arial" w:hAnsi="Arial" w:cs="Arial"/>
          <w:sz w:val="20"/>
          <w:szCs w:val="20"/>
        </w:rPr>
        <w:t>ked</w:t>
      </w:r>
      <w:r>
        <w:rPr>
          <w:rFonts w:ascii="Arial" w:hAnsi="Arial" w:cs="Arial"/>
          <w:sz w:val="20"/>
          <w:szCs w:val="20"/>
        </w:rPr>
        <w:t xml:space="preserve">ni tudjon a vitorlázók </w:t>
      </w:r>
      <w:r w:rsidR="00586243" w:rsidRPr="00586243">
        <w:rPr>
          <w:rFonts w:ascii="Arial" w:hAnsi="Arial" w:cs="Arial"/>
          <w:sz w:val="20"/>
          <w:szCs w:val="20"/>
        </w:rPr>
        <w:t>túraaktivitás</w:t>
      </w:r>
      <w:r>
        <w:rPr>
          <w:rFonts w:ascii="Arial" w:hAnsi="Arial" w:cs="Arial"/>
          <w:sz w:val="20"/>
          <w:szCs w:val="20"/>
        </w:rPr>
        <w:t>a</w:t>
      </w:r>
      <w:r w:rsidR="00586243" w:rsidRPr="00586243">
        <w:rPr>
          <w:rFonts w:ascii="Arial" w:hAnsi="Arial" w:cs="Arial"/>
          <w:sz w:val="20"/>
          <w:szCs w:val="20"/>
        </w:rPr>
        <w:t>.</w:t>
      </w:r>
      <w:r w:rsidR="00586243">
        <w:rPr>
          <w:rFonts w:ascii="Arial" w:hAnsi="Arial" w:cs="Arial"/>
          <w:sz w:val="20"/>
          <w:szCs w:val="20"/>
        </w:rPr>
        <w:t xml:space="preserve"> Az ehhez kapcsolódó „</w:t>
      </w:r>
      <w:r w:rsidR="00586243" w:rsidRPr="00586243">
        <w:rPr>
          <w:rFonts w:ascii="Arial" w:hAnsi="Arial" w:cs="Arial"/>
          <w:sz w:val="20"/>
          <w:szCs w:val="20"/>
        </w:rPr>
        <w:t xml:space="preserve">Vitorlázz itthon – A felfedezés élménye” turisztikai portál főbb feladatai közt szerepel a túravitorlázás népszerűsítése túraútvonal-ajánlatok bemutatásával, a helyi turisztikai attrakciók, rendezvények bemutatása és nem utolsó sorban a helyi, turisztikai, kulturális vagy éppen vitorlázással kapcsolatos hírszolgáltatás. </w:t>
      </w:r>
    </w:p>
    <w:p w:rsidR="00586243" w:rsidRDefault="00586243" w:rsidP="005862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86243" w:rsidRDefault="00586243" w:rsidP="00586243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86243">
        <w:rPr>
          <w:rFonts w:ascii="Arial" w:hAnsi="Arial" w:cs="Arial"/>
          <w:sz w:val="20"/>
          <w:szCs w:val="20"/>
        </w:rPr>
        <w:t>A turisztikai portál biztosít felületet a Vitorlázz itthon kedvezménykártya-rendszernek</w:t>
      </w:r>
      <w:r>
        <w:rPr>
          <w:rFonts w:ascii="Arial" w:hAnsi="Arial" w:cs="Arial"/>
          <w:sz w:val="20"/>
          <w:szCs w:val="20"/>
        </w:rPr>
        <w:t>, amelynek előregisztrációja 2018</w:t>
      </w:r>
      <w:r w:rsidRPr="0058624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november 28-án kezdődik el. </w:t>
      </w:r>
      <w:r w:rsidRPr="00586243">
        <w:rPr>
          <w:rFonts w:ascii="Arial" w:hAnsi="Arial" w:cs="Arial"/>
          <w:sz w:val="20"/>
          <w:szCs w:val="20"/>
        </w:rPr>
        <w:t>Ennek keretében több száz kulturális, gasztronómiai, illetve vitorlázással foglalkozó szolgáltató (charter cég, hajóépítő mester, vitorlás iskola), valamint szálláshely jelenik meg, mint kártyaelfogadó partner.</w:t>
      </w:r>
      <w:r w:rsidR="002A5A3E" w:rsidRPr="002A5A3E">
        <w:t xml:space="preserve"> </w:t>
      </w:r>
      <w:r w:rsidR="002A5A3E" w:rsidRPr="002A5A3E">
        <w:rPr>
          <w:rFonts w:ascii="Arial" w:hAnsi="Arial" w:cs="Arial"/>
          <w:sz w:val="20"/>
          <w:szCs w:val="20"/>
        </w:rPr>
        <w:t>Ezek a szolgáltatók partnerként lehetőséget kapnak arra, hogy programjaikról, akcióikról a portál hírt adjon, valamint megjelenjenek az eddigi legteljesebb balatoni szolgáltatói listában.</w:t>
      </w:r>
    </w:p>
    <w:p w:rsidR="002A5A3E" w:rsidRDefault="002A5A3E" w:rsidP="00586243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A5A3E" w:rsidRPr="002A5A3E" w:rsidRDefault="002A5A3E" w:rsidP="002A5A3E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Holczhauser András hangsúlyozta: a</w:t>
      </w:r>
      <w:r w:rsidRPr="002A5A3E">
        <w:rPr>
          <w:rFonts w:ascii="Arial" w:hAnsi="Arial" w:cs="Arial"/>
          <w:sz w:val="20"/>
          <w:szCs w:val="20"/>
        </w:rPr>
        <w:t xml:space="preserve"> „Vitorlázz Itthon – A felfedezés élménye” projekt</w:t>
      </w:r>
    </w:p>
    <w:p w:rsidR="002A5A3E" w:rsidRDefault="00B7693F" w:rsidP="002A5A3E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sikeres </w:t>
      </w:r>
      <w:r w:rsidR="002A5A3E">
        <w:rPr>
          <w:rFonts w:ascii="Arial" w:hAnsi="Arial" w:cs="Arial"/>
          <w:sz w:val="20"/>
          <w:szCs w:val="20"/>
        </w:rPr>
        <w:t xml:space="preserve">lezárásával a Magyar Vitorlás Szövetség jelentős lépést tett annak érdekében, hogy </w:t>
      </w:r>
      <w:r w:rsidR="002A5A3E" w:rsidRPr="002A5A3E">
        <w:rPr>
          <w:rFonts w:ascii="Arial" w:hAnsi="Arial" w:cs="Arial"/>
          <w:sz w:val="20"/>
          <w:szCs w:val="20"/>
        </w:rPr>
        <w:t>a turisztikai infrastruktúra, valamint az azt működtető hálózat</w:t>
      </w:r>
      <w:r>
        <w:rPr>
          <w:rFonts w:ascii="Arial" w:hAnsi="Arial" w:cs="Arial"/>
          <w:sz w:val="20"/>
          <w:szCs w:val="20"/>
        </w:rPr>
        <w:t xml:space="preserve">ok </w:t>
      </w:r>
      <w:r w:rsidR="002A5A3E" w:rsidRPr="002A5A3E">
        <w:rPr>
          <w:rFonts w:ascii="Arial" w:hAnsi="Arial" w:cs="Arial"/>
          <w:sz w:val="20"/>
          <w:szCs w:val="20"/>
        </w:rPr>
        <w:t xml:space="preserve">fejlesztésével elhelyezze a Balaton Régiót – mint vitorlás </w:t>
      </w:r>
      <w:r>
        <w:rPr>
          <w:rFonts w:ascii="Arial" w:hAnsi="Arial" w:cs="Arial"/>
          <w:sz w:val="20"/>
          <w:szCs w:val="20"/>
        </w:rPr>
        <w:t xml:space="preserve">turisztikai </w:t>
      </w:r>
      <w:r w:rsidR="002A5A3E" w:rsidRPr="002A5A3E">
        <w:rPr>
          <w:rFonts w:ascii="Arial" w:hAnsi="Arial" w:cs="Arial"/>
          <w:sz w:val="20"/>
          <w:szCs w:val="20"/>
        </w:rPr>
        <w:t xml:space="preserve">desztinációt – kezdetben a belföldi, hosszabb távon pedig a nemzetközi piacon. A </w:t>
      </w:r>
      <w:r w:rsidR="002A5A3E">
        <w:rPr>
          <w:rFonts w:ascii="Arial" w:hAnsi="Arial" w:cs="Arial"/>
          <w:sz w:val="20"/>
          <w:szCs w:val="20"/>
        </w:rPr>
        <w:t>640,7 millió forintos összköltséggel megvalósuló</w:t>
      </w:r>
      <w:r>
        <w:rPr>
          <w:rFonts w:ascii="Arial" w:hAnsi="Arial" w:cs="Arial"/>
          <w:sz w:val="20"/>
          <w:szCs w:val="20"/>
        </w:rPr>
        <w:t xml:space="preserve">, uniós forrásokból megvalósult </w:t>
      </w:r>
      <w:r w:rsidR="002A5A3E">
        <w:rPr>
          <w:rFonts w:ascii="Arial" w:hAnsi="Arial" w:cs="Arial"/>
          <w:sz w:val="20"/>
          <w:szCs w:val="20"/>
        </w:rPr>
        <w:t xml:space="preserve">fejlesztések révén </w:t>
      </w:r>
      <w:r>
        <w:rPr>
          <w:rFonts w:ascii="Arial" w:hAnsi="Arial" w:cs="Arial"/>
          <w:sz w:val="20"/>
          <w:szCs w:val="20"/>
        </w:rPr>
        <w:t xml:space="preserve">mostantól </w:t>
      </w:r>
      <w:r w:rsidR="002A5A3E" w:rsidRPr="002A5A3E">
        <w:rPr>
          <w:rFonts w:ascii="Arial" w:hAnsi="Arial" w:cs="Arial"/>
          <w:sz w:val="20"/>
          <w:szCs w:val="20"/>
        </w:rPr>
        <w:t xml:space="preserve">az ország tizenegy megyéjében válik elérhetővé a turisták számára a vitorlázás, ezzel megszólítva a népesség mintegy ötven százalékát. </w:t>
      </w:r>
    </w:p>
    <w:p w:rsidR="004B1281" w:rsidRDefault="004B1281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</w:t>
      </w:r>
      <w:r w:rsidR="002A5A3E">
        <w:rPr>
          <w:rFonts w:ascii="Arial" w:hAnsi="Arial" w:cs="Arial"/>
          <w:b/>
          <w:color w:val="333399"/>
          <w:sz w:val="20"/>
          <w:szCs w:val="20"/>
        </w:rPr>
        <w:t xml:space="preserve">: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2A5A3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Somogyi Nóra</w:t>
      </w:r>
    </w:p>
    <w:p w:rsidR="00907A77" w:rsidRDefault="002A5A3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</w:t>
      </w:r>
      <w:proofErr w:type="spellStart"/>
      <w:r>
        <w:rPr>
          <w:rFonts w:ascii="Arial" w:hAnsi="Arial" w:cs="Arial"/>
          <w:sz w:val="20"/>
          <w:szCs w:val="20"/>
        </w:rPr>
        <w:t>manager</w:t>
      </w:r>
      <w:proofErr w:type="spellEnd"/>
    </w:p>
    <w:p w:rsidR="002A5A3E" w:rsidRDefault="002A5A3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2A5A3E" w:rsidRDefault="002A5A3E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 w:rsidR="00B7693F" w:rsidRPr="00B7693F">
        <w:t xml:space="preserve"> </w:t>
      </w:r>
      <w:r w:rsidR="00B7693F" w:rsidRPr="00B7693F">
        <w:rPr>
          <w:rFonts w:ascii="Arial" w:hAnsi="Arial" w:cs="Arial"/>
          <w:sz w:val="20"/>
          <w:szCs w:val="20"/>
        </w:rPr>
        <w:t>+36 1 460 6925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973F1" w:rsidRDefault="002A5A3E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0F5AC9">
          <w:rPr>
            <w:rStyle w:val="Hiperhivatkozs"/>
            <w:rFonts w:ascii="Arial" w:hAnsi="Arial" w:cs="Arial"/>
            <w:sz w:val="20"/>
            <w:szCs w:val="20"/>
          </w:rPr>
          <w:t>media@hunsail.hu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A5A3E" w:rsidRDefault="002A5A3E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7" w:history="1">
        <w:r w:rsidR="0014210E" w:rsidRPr="000F5AC9">
          <w:rPr>
            <w:rStyle w:val="Hiperhivatkozs"/>
            <w:rFonts w:ascii="Arial" w:hAnsi="Arial" w:cs="Arial"/>
            <w:sz w:val="20"/>
            <w:szCs w:val="20"/>
          </w:rPr>
          <w:t>http://hunsail.hu/hirek-mva</w:t>
        </w:r>
      </w:hyperlink>
    </w:p>
    <w:p w:rsidR="0014210E" w:rsidRPr="00D973F1" w:rsidRDefault="0014210E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14210E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28" w:rsidRDefault="00440128" w:rsidP="00D973F1">
      <w:pPr>
        <w:spacing w:after="0" w:line="240" w:lineRule="auto"/>
      </w:pPr>
      <w:r>
        <w:separator/>
      </w:r>
    </w:p>
  </w:endnote>
  <w:endnote w:type="continuationSeparator" w:id="0">
    <w:p w:rsidR="00440128" w:rsidRDefault="00440128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28" w:rsidRDefault="00440128" w:rsidP="00D973F1">
      <w:pPr>
        <w:spacing w:after="0" w:line="240" w:lineRule="auto"/>
      </w:pPr>
      <w:r>
        <w:separator/>
      </w:r>
    </w:p>
  </w:footnote>
  <w:footnote w:type="continuationSeparator" w:id="0">
    <w:p w:rsidR="00440128" w:rsidRDefault="00440128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07A1"/>
    <w:rsid w:val="00000FDC"/>
    <w:rsid w:val="000E6BA9"/>
    <w:rsid w:val="0014210E"/>
    <w:rsid w:val="00211611"/>
    <w:rsid w:val="00252DFC"/>
    <w:rsid w:val="002A5A3E"/>
    <w:rsid w:val="00384D9C"/>
    <w:rsid w:val="00394F55"/>
    <w:rsid w:val="00440128"/>
    <w:rsid w:val="004B1281"/>
    <w:rsid w:val="00527209"/>
    <w:rsid w:val="00527341"/>
    <w:rsid w:val="00586243"/>
    <w:rsid w:val="00851998"/>
    <w:rsid w:val="00907A77"/>
    <w:rsid w:val="009271A2"/>
    <w:rsid w:val="00B7693F"/>
    <w:rsid w:val="00CB4E9F"/>
    <w:rsid w:val="00CF4FB8"/>
    <w:rsid w:val="00D973F1"/>
    <w:rsid w:val="00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0EEC"/>
  <w15:docId w15:val="{B5DD8D09-436E-4DDA-959F-21F96AC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5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A5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unsail.hu/hirek-m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huns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András Tóth</cp:lastModifiedBy>
  <cp:revision>3</cp:revision>
  <dcterms:created xsi:type="dcterms:W3CDTF">2018-11-30T13:29:00Z</dcterms:created>
  <dcterms:modified xsi:type="dcterms:W3CDTF">2018-11-30T13:47:00Z</dcterms:modified>
</cp:coreProperties>
</file>